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75F7" w14:textId="77777777" w:rsidR="0031055B" w:rsidRDefault="0031055B" w:rsidP="0031055B">
      <w:pPr>
        <w:pStyle w:val="Titre1"/>
        <w:framePr w:hSpace="180" w:wrap="around" w:vAnchor="text" w:hAnchor="page" w:x="8353" w:y="-558"/>
        <w:ind w:left="709"/>
        <w:rPr>
          <w:color w:val="0000FF"/>
          <w:lang w:val="fr-FR"/>
        </w:rPr>
      </w:pPr>
    </w:p>
    <w:p w14:paraId="3F8D5EB8" w14:textId="77777777" w:rsidR="0031055B" w:rsidRDefault="0031055B" w:rsidP="0031055B">
      <w:pPr>
        <w:pStyle w:val="Titre1"/>
        <w:framePr w:hSpace="180" w:wrap="around" w:vAnchor="text" w:hAnchor="page" w:x="8353" w:y="-558"/>
        <w:ind w:left="709"/>
        <w:rPr>
          <w:color w:val="0000FF"/>
          <w:lang w:val="fr-FR"/>
        </w:rPr>
      </w:pPr>
    </w:p>
    <w:p w14:paraId="2D779874" w14:textId="77777777" w:rsidR="00A24411" w:rsidRDefault="00A24411" w:rsidP="00A24411">
      <w:pPr>
        <w:framePr w:hSpace="180" w:wrap="around" w:vAnchor="text" w:hAnchor="page" w:x="8353" w:y="-558"/>
        <w:tabs>
          <w:tab w:val="left" w:pos="2268"/>
        </w:tabs>
        <w:ind w:left="1134"/>
        <w:rPr>
          <w:color w:val="0000FF"/>
          <w:sz w:val="16"/>
          <w:lang w:val="fr-CH"/>
        </w:rPr>
      </w:pPr>
    </w:p>
    <w:p w14:paraId="60206B49" w14:textId="77777777" w:rsidR="00A24411" w:rsidRDefault="00A24411" w:rsidP="00A24411">
      <w:pPr>
        <w:framePr w:hSpace="180" w:wrap="around" w:vAnchor="text" w:hAnchor="page" w:x="8353" w:y="-558"/>
        <w:tabs>
          <w:tab w:val="left" w:pos="2268"/>
        </w:tabs>
        <w:ind w:left="1134"/>
        <w:rPr>
          <w:color w:val="0000FF"/>
          <w:sz w:val="16"/>
          <w:lang w:val="fr-CH"/>
        </w:rPr>
      </w:pPr>
    </w:p>
    <w:p w14:paraId="56C0C4DB" w14:textId="77777777" w:rsidR="00D367A6" w:rsidRDefault="00D367A6" w:rsidP="00D367A6">
      <w:pPr>
        <w:framePr w:hSpace="180" w:wrap="around" w:vAnchor="text" w:hAnchor="page" w:x="8353" w:y="-558"/>
        <w:jc w:val="center"/>
        <w:rPr>
          <w:color w:val="0000FF"/>
          <w:sz w:val="16"/>
          <w:lang w:val="fr-CH"/>
        </w:rPr>
      </w:pPr>
    </w:p>
    <w:p w14:paraId="3C4CF0A2" w14:textId="77777777" w:rsidR="00D367A6" w:rsidRDefault="00D367A6">
      <w:pPr>
        <w:framePr w:hSpace="180" w:wrap="around" w:vAnchor="text" w:hAnchor="page" w:x="8353" w:y="-558"/>
        <w:jc w:val="both"/>
      </w:pPr>
    </w:p>
    <w:p w14:paraId="6EB83FFB" w14:textId="77777777" w:rsidR="00BF33FA" w:rsidRDefault="00BF33FA">
      <w:pPr>
        <w:framePr w:hSpace="180" w:wrap="around" w:vAnchor="text" w:hAnchor="page" w:x="8353" w:y="-558"/>
        <w:jc w:val="both"/>
      </w:pPr>
    </w:p>
    <w:p w14:paraId="2D7B64D0" w14:textId="77777777" w:rsidR="00BF33FA" w:rsidRDefault="00BF33FA">
      <w:pPr>
        <w:framePr w:hSpace="180" w:wrap="around" w:vAnchor="text" w:hAnchor="page" w:x="8353" w:y="-558"/>
        <w:jc w:val="both"/>
      </w:pPr>
    </w:p>
    <w:p w14:paraId="71D7574D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  <w:r>
        <w:rPr>
          <w:rFonts w:ascii="Arial" w:hAnsi="Arial"/>
          <w:color w:val="0000FF"/>
          <w:sz w:val="16"/>
        </w:rPr>
        <w:tab/>
      </w:r>
    </w:p>
    <w:p w14:paraId="6D3D19B5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5C1034F4" w14:textId="77777777" w:rsidR="004442AB" w:rsidRDefault="004442AB" w:rsidP="004442AB">
      <w:pPr>
        <w:pStyle w:val="Titre1"/>
        <w:ind w:left="709"/>
        <w:rPr>
          <w:color w:val="0000FF"/>
          <w:lang w:val="fr-FR"/>
        </w:rPr>
      </w:pPr>
      <w:r>
        <w:rPr>
          <w:color w:val="0000FF"/>
          <w:lang w:val="fr-FR"/>
        </w:rPr>
        <w:t>Y A C H T   C L U B   DU</w:t>
      </w:r>
    </w:p>
    <w:p w14:paraId="74CC6CBF" w14:textId="77777777" w:rsidR="004442AB" w:rsidRDefault="0038725E" w:rsidP="004442AB">
      <w:pPr>
        <w:ind w:left="567" w:firstLine="426"/>
      </w:pPr>
      <w:r>
        <w:rPr>
          <w:noProof/>
          <w:color w:val="000000"/>
        </w:rPr>
        <w:drawing>
          <wp:inline distT="0" distB="0" distL="0" distR="0" wp14:anchorId="361CF0F4" wp14:editId="0F54A007">
            <wp:extent cx="1127760" cy="6934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E21B" w14:textId="77777777" w:rsidR="004442AB" w:rsidRDefault="004442AB" w:rsidP="004442AB">
      <w:pPr>
        <w:pStyle w:val="Lgende"/>
        <w:ind w:left="284"/>
        <w:rPr>
          <w:color w:val="0000FF"/>
        </w:rPr>
      </w:pPr>
      <w:r>
        <w:rPr>
          <w:color w:val="0000FF"/>
        </w:rPr>
        <w:t>GRAND-DUCHÉ DE LUXEMBOURG</w:t>
      </w:r>
    </w:p>
    <w:p w14:paraId="5C13166D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63502DA9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15F492F9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62B7277B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27728F66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70F3FD3D" w14:textId="77777777" w:rsidR="00DC30D3" w:rsidRDefault="00DC30D3">
      <w:pPr>
        <w:jc w:val="center"/>
        <w:rPr>
          <w:rFonts w:ascii="Arial" w:hAnsi="Arial"/>
          <w:color w:val="0000FF"/>
          <w:sz w:val="16"/>
        </w:rPr>
      </w:pPr>
    </w:p>
    <w:p w14:paraId="5B470E69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5000B8B9" w14:textId="77777777" w:rsidR="004442AB" w:rsidRDefault="004442AB">
      <w:pPr>
        <w:jc w:val="center"/>
        <w:rPr>
          <w:rFonts w:ascii="Arial" w:hAnsi="Arial"/>
          <w:color w:val="0000FF"/>
          <w:sz w:val="16"/>
        </w:rPr>
      </w:pPr>
    </w:p>
    <w:p w14:paraId="46BB5E3C" w14:textId="77777777" w:rsidR="00E821F8" w:rsidRPr="0038725E" w:rsidRDefault="0038725E" w:rsidP="0038725E">
      <w:pPr>
        <w:pStyle w:val="Titre"/>
        <w:rPr>
          <w:b w:val="0"/>
          <w:bCs/>
          <w:sz w:val="52"/>
          <w:szCs w:val="52"/>
        </w:rPr>
      </w:pPr>
      <w:r w:rsidRPr="0038725E">
        <w:rPr>
          <w:b w:val="0"/>
          <w:bCs/>
          <w:sz w:val="52"/>
          <w:szCs w:val="52"/>
        </w:rPr>
        <w:t>RÈGLEMENT</w:t>
      </w:r>
    </w:p>
    <w:p w14:paraId="1D1AF326" w14:textId="77777777" w:rsidR="00E821F8" w:rsidRPr="0038725E" w:rsidRDefault="0038725E">
      <w:pPr>
        <w:jc w:val="center"/>
        <w:rPr>
          <w:bCs/>
          <w:sz w:val="52"/>
          <w:szCs w:val="52"/>
          <w:lang w:val="fr-CH"/>
        </w:rPr>
      </w:pPr>
      <w:r w:rsidRPr="0038725E">
        <w:rPr>
          <w:bCs/>
          <w:sz w:val="52"/>
          <w:szCs w:val="52"/>
          <w:lang w:val="fr-CH"/>
        </w:rPr>
        <w:t>VESTIAIRES ET ARMOIRES</w:t>
      </w:r>
    </w:p>
    <w:p w14:paraId="2DEEB9FE" w14:textId="77777777" w:rsidR="00E821F8" w:rsidRDefault="00E821F8" w:rsidP="0038725E">
      <w:pPr>
        <w:ind w:right="694"/>
        <w:jc w:val="center"/>
        <w:rPr>
          <w:b/>
          <w:sz w:val="44"/>
          <w:lang w:val="fr-CH"/>
        </w:rPr>
      </w:pPr>
    </w:p>
    <w:p w14:paraId="3A62202A" w14:textId="4283CA42" w:rsidR="00E821F8" w:rsidRPr="00FD2BF6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sz w:val="28"/>
          <w:lang w:val="fr-CH"/>
        </w:rPr>
        <w:t>Tout membre actif</w:t>
      </w:r>
      <w:r w:rsidR="00612F3B">
        <w:rPr>
          <w:sz w:val="28"/>
          <w:lang w:val="fr-CH"/>
        </w:rPr>
        <w:t xml:space="preserve"> </w:t>
      </w:r>
      <w:r>
        <w:rPr>
          <w:sz w:val="28"/>
          <w:lang w:val="fr-CH"/>
        </w:rPr>
        <w:t>du</w:t>
      </w:r>
      <w:r w:rsidR="00612F3B">
        <w:rPr>
          <w:sz w:val="28"/>
          <w:lang w:val="fr-CH"/>
        </w:rPr>
        <w:t xml:space="preserve"> </w:t>
      </w:r>
      <w:r>
        <w:rPr>
          <w:sz w:val="28"/>
          <w:lang w:val="fr-CH"/>
        </w:rPr>
        <w:t>YCL</w:t>
      </w:r>
      <w:r w:rsidR="00A87901">
        <w:rPr>
          <w:sz w:val="28"/>
          <w:lang w:val="fr-CH"/>
        </w:rPr>
        <w:t xml:space="preserve"> </w:t>
      </w:r>
      <w:r>
        <w:rPr>
          <w:sz w:val="28"/>
          <w:lang w:val="fr-CH"/>
        </w:rPr>
        <w:t>a droit à une cl</w:t>
      </w:r>
      <w:r w:rsidR="00612F3B">
        <w:rPr>
          <w:sz w:val="28"/>
          <w:lang w:val="fr-CH"/>
        </w:rPr>
        <w:t>ef</w:t>
      </w:r>
      <w:r>
        <w:rPr>
          <w:sz w:val="28"/>
          <w:lang w:val="fr-CH"/>
        </w:rPr>
        <w:t xml:space="preserve"> </w:t>
      </w:r>
      <w:r w:rsidR="0038725E">
        <w:rPr>
          <w:sz w:val="28"/>
          <w:lang w:val="fr-CH"/>
        </w:rPr>
        <w:t>d’entrée aux</w:t>
      </w:r>
      <w:r>
        <w:rPr>
          <w:sz w:val="28"/>
          <w:lang w:val="fr-CH"/>
        </w:rPr>
        <w:t xml:space="preserve"> vestiaires</w:t>
      </w:r>
      <w:r w:rsidR="003A4FD3">
        <w:rPr>
          <w:sz w:val="28"/>
          <w:lang w:val="fr-CH"/>
        </w:rPr>
        <w:t xml:space="preserve"> et peut faire une demande en vue de l’attribution d’une armoire</w:t>
      </w:r>
      <w:r w:rsidR="0038725E">
        <w:rPr>
          <w:sz w:val="28"/>
          <w:lang w:val="fr-CH"/>
        </w:rPr>
        <w:t xml:space="preserve">, </w:t>
      </w:r>
      <w:r w:rsidR="00DC30D3">
        <w:rPr>
          <w:sz w:val="28"/>
          <w:lang w:val="fr-CH"/>
        </w:rPr>
        <w:t>selon</w:t>
      </w:r>
      <w:r w:rsidR="0038725E">
        <w:rPr>
          <w:sz w:val="28"/>
          <w:lang w:val="fr-CH"/>
        </w:rPr>
        <w:t xml:space="preserve"> disponibilité.</w:t>
      </w:r>
      <w:r>
        <w:rPr>
          <w:sz w:val="28"/>
          <w:lang w:val="fr-CH"/>
        </w:rPr>
        <w:t xml:space="preserve"> </w:t>
      </w:r>
      <w:r w:rsidR="00FD2BF6" w:rsidRPr="00FD2BF6">
        <w:rPr>
          <w:sz w:val="28"/>
          <w:lang w:val="fr-CH"/>
        </w:rPr>
        <w:t>Formulaires disponibles sur notre site Internet ou à la base nautique.</w:t>
      </w:r>
    </w:p>
    <w:p w14:paraId="6178AB65" w14:textId="77777777" w:rsidR="00612F3B" w:rsidRDefault="00612F3B" w:rsidP="0038725E">
      <w:pPr>
        <w:ind w:left="885" w:right="694"/>
        <w:rPr>
          <w:sz w:val="28"/>
          <w:lang w:val="fr-CH"/>
        </w:rPr>
      </w:pPr>
    </w:p>
    <w:p w14:paraId="6D542E1C" w14:textId="77777777" w:rsidR="00E821F8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sz w:val="28"/>
          <w:lang w:val="fr-CH"/>
        </w:rPr>
        <w:t xml:space="preserve">Pour </w:t>
      </w:r>
      <w:r w:rsidR="0038725E">
        <w:rPr>
          <w:sz w:val="28"/>
          <w:lang w:val="fr-CH"/>
        </w:rPr>
        <w:t>assurer la sécurité</w:t>
      </w:r>
      <w:r w:rsidR="00612F3B">
        <w:rPr>
          <w:sz w:val="28"/>
          <w:lang w:val="fr-CH"/>
        </w:rPr>
        <w:t>,</w:t>
      </w:r>
      <w:r>
        <w:rPr>
          <w:sz w:val="28"/>
          <w:lang w:val="fr-CH"/>
        </w:rPr>
        <w:t xml:space="preserve"> les porteurs de cl</w:t>
      </w:r>
      <w:r w:rsidR="00612F3B">
        <w:rPr>
          <w:sz w:val="28"/>
          <w:lang w:val="fr-CH"/>
        </w:rPr>
        <w:t>efs</w:t>
      </w:r>
      <w:r>
        <w:rPr>
          <w:sz w:val="28"/>
          <w:lang w:val="fr-CH"/>
        </w:rPr>
        <w:t xml:space="preserve"> sont tenus à fermer soigneusement</w:t>
      </w:r>
      <w:r w:rsidR="0038725E">
        <w:rPr>
          <w:sz w:val="28"/>
          <w:lang w:val="fr-CH"/>
        </w:rPr>
        <w:t xml:space="preserve"> </w:t>
      </w:r>
      <w:r>
        <w:rPr>
          <w:sz w:val="28"/>
          <w:lang w:val="fr-CH"/>
        </w:rPr>
        <w:t>les portes des vestiaires.</w:t>
      </w:r>
    </w:p>
    <w:p w14:paraId="5179E201" w14:textId="77777777" w:rsidR="00612F3B" w:rsidRDefault="00612F3B" w:rsidP="0038725E">
      <w:pPr>
        <w:ind w:left="885" w:right="694"/>
        <w:rPr>
          <w:sz w:val="28"/>
          <w:lang w:val="fr-CH"/>
        </w:rPr>
      </w:pPr>
    </w:p>
    <w:p w14:paraId="4BE027B0" w14:textId="77777777" w:rsidR="00E821F8" w:rsidRPr="0038725E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sz w:val="28"/>
          <w:lang w:val="fr-CH"/>
        </w:rPr>
        <w:t xml:space="preserve">Les armoires </w:t>
      </w:r>
      <w:r w:rsidR="0038725E">
        <w:rPr>
          <w:sz w:val="28"/>
          <w:lang w:val="fr-CH"/>
        </w:rPr>
        <w:t>restent</w:t>
      </w:r>
      <w:r>
        <w:rPr>
          <w:sz w:val="28"/>
          <w:lang w:val="fr-CH"/>
        </w:rPr>
        <w:t xml:space="preserve"> strictement sous </w:t>
      </w:r>
      <w:r w:rsidR="0038725E">
        <w:rPr>
          <w:sz w:val="28"/>
          <w:lang w:val="fr-CH"/>
        </w:rPr>
        <w:t xml:space="preserve">le </w:t>
      </w:r>
      <w:r>
        <w:rPr>
          <w:sz w:val="28"/>
          <w:lang w:val="fr-CH"/>
        </w:rPr>
        <w:t xml:space="preserve">contrôle </w:t>
      </w:r>
      <w:r w:rsidR="0038725E">
        <w:rPr>
          <w:sz w:val="28"/>
          <w:lang w:val="fr-CH"/>
        </w:rPr>
        <w:t>du Chef de Base et du CA</w:t>
      </w:r>
      <w:r w:rsidR="004442AB">
        <w:rPr>
          <w:sz w:val="28"/>
          <w:lang w:val="fr-CH"/>
        </w:rPr>
        <w:t>.</w:t>
      </w:r>
      <w:r>
        <w:rPr>
          <w:sz w:val="28"/>
          <w:lang w:val="fr-CH"/>
        </w:rPr>
        <w:t xml:space="preserve"> </w:t>
      </w:r>
      <w:r w:rsidRPr="0038725E">
        <w:rPr>
          <w:sz w:val="28"/>
          <w:lang w:val="fr-CH"/>
        </w:rPr>
        <w:t>A cet effet une deuxième cl</w:t>
      </w:r>
      <w:r w:rsidR="00612F3B" w:rsidRPr="0038725E">
        <w:rPr>
          <w:sz w:val="28"/>
          <w:lang w:val="fr-CH"/>
        </w:rPr>
        <w:t>ef</w:t>
      </w:r>
      <w:r w:rsidRPr="0038725E">
        <w:rPr>
          <w:sz w:val="28"/>
          <w:lang w:val="fr-CH"/>
        </w:rPr>
        <w:t xml:space="preserve"> est conservée dans l’armoire à cl</w:t>
      </w:r>
      <w:r w:rsidR="00612F3B" w:rsidRPr="0038725E">
        <w:rPr>
          <w:sz w:val="28"/>
          <w:lang w:val="fr-CH"/>
        </w:rPr>
        <w:t>efs</w:t>
      </w:r>
      <w:r w:rsidRPr="0038725E">
        <w:rPr>
          <w:sz w:val="28"/>
          <w:lang w:val="fr-CH"/>
        </w:rPr>
        <w:t xml:space="preserve"> à la base.</w:t>
      </w:r>
    </w:p>
    <w:p w14:paraId="715F7748" w14:textId="77777777" w:rsidR="00612F3B" w:rsidRPr="00612F3B" w:rsidRDefault="00612F3B" w:rsidP="0038725E">
      <w:pPr>
        <w:ind w:left="885" w:right="694"/>
        <w:rPr>
          <w:sz w:val="28"/>
          <w:lang w:val="fr-CH"/>
        </w:rPr>
      </w:pPr>
    </w:p>
    <w:p w14:paraId="766FF805" w14:textId="77777777" w:rsidR="00E821F8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sz w:val="28"/>
          <w:lang w:val="fr-CH"/>
        </w:rPr>
        <w:t>Le CA se réserve le droit de retirer les armoires en cas d’utilisation à des fins étrangères à la pratique de la voile.</w:t>
      </w:r>
    </w:p>
    <w:p w14:paraId="408AC330" w14:textId="77777777" w:rsidR="00612F3B" w:rsidRDefault="00612F3B" w:rsidP="0038725E">
      <w:pPr>
        <w:ind w:left="885" w:right="694"/>
        <w:rPr>
          <w:sz w:val="28"/>
          <w:lang w:val="fr-CH"/>
        </w:rPr>
      </w:pPr>
    </w:p>
    <w:p w14:paraId="266EED85" w14:textId="77777777" w:rsidR="00612F3B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sz w:val="28"/>
          <w:lang w:val="fr-CH"/>
        </w:rPr>
        <w:t>L’armoire sera également retirée si le</w:t>
      </w:r>
      <w:r w:rsidR="0038725E">
        <w:rPr>
          <w:sz w:val="28"/>
          <w:lang w:val="fr-CH"/>
        </w:rPr>
        <w:t xml:space="preserve"> détenteur</w:t>
      </w:r>
      <w:r>
        <w:rPr>
          <w:sz w:val="28"/>
          <w:lang w:val="fr-CH"/>
        </w:rPr>
        <w:t xml:space="preserve"> n'est plus membre</w:t>
      </w:r>
      <w:r w:rsidR="00A87901">
        <w:rPr>
          <w:sz w:val="28"/>
          <w:lang w:val="fr-CH"/>
        </w:rPr>
        <w:t xml:space="preserve"> </w:t>
      </w:r>
      <w:r>
        <w:rPr>
          <w:sz w:val="28"/>
          <w:lang w:val="fr-CH"/>
        </w:rPr>
        <w:t>du YCL</w:t>
      </w:r>
      <w:r w:rsidR="00A87901">
        <w:rPr>
          <w:sz w:val="28"/>
          <w:lang w:val="fr-CH"/>
        </w:rPr>
        <w:t>.</w:t>
      </w:r>
      <w:r w:rsidR="00612F3B">
        <w:rPr>
          <w:sz w:val="28"/>
          <w:lang w:val="fr-CH"/>
        </w:rPr>
        <w:t xml:space="preserve"> </w:t>
      </w:r>
      <w:r w:rsidR="0038725E">
        <w:rPr>
          <w:sz w:val="28"/>
          <w:lang w:val="fr-CH"/>
        </w:rPr>
        <w:t>Si le détenteur ne procède pas à la mise à disposition, l</w:t>
      </w:r>
      <w:r w:rsidR="0025611D">
        <w:rPr>
          <w:sz w:val="28"/>
          <w:lang w:val="fr-CH"/>
        </w:rPr>
        <w:t xml:space="preserve">e CA se réserve le droit </w:t>
      </w:r>
      <w:r w:rsidR="00BF33FA">
        <w:rPr>
          <w:sz w:val="28"/>
          <w:lang w:val="fr-CH"/>
        </w:rPr>
        <w:t xml:space="preserve">d’ouvrir l’armoire et de </w:t>
      </w:r>
      <w:r w:rsidR="0038725E">
        <w:rPr>
          <w:sz w:val="28"/>
          <w:lang w:val="fr-CH"/>
        </w:rPr>
        <w:t xml:space="preserve">la vider, </w:t>
      </w:r>
      <w:r w:rsidR="00BF33FA">
        <w:rPr>
          <w:sz w:val="28"/>
          <w:lang w:val="fr-CH"/>
        </w:rPr>
        <w:t xml:space="preserve">le contenu </w:t>
      </w:r>
      <w:r w:rsidR="0038725E">
        <w:rPr>
          <w:sz w:val="28"/>
          <w:lang w:val="fr-CH"/>
        </w:rPr>
        <w:t xml:space="preserve">sera stocké </w:t>
      </w:r>
      <w:r w:rsidR="00BF33FA">
        <w:rPr>
          <w:sz w:val="28"/>
          <w:lang w:val="fr-CH"/>
        </w:rPr>
        <w:t>dans un entrepôt du C</w:t>
      </w:r>
      <w:r w:rsidR="00A87901">
        <w:rPr>
          <w:sz w:val="28"/>
          <w:lang w:val="fr-CH"/>
        </w:rPr>
        <w:t xml:space="preserve">entre de </w:t>
      </w:r>
      <w:r w:rsidR="00BF33FA">
        <w:rPr>
          <w:sz w:val="28"/>
          <w:lang w:val="fr-CH"/>
        </w:rPr>
        <w:t>V</w:t>
      </w:r>
      <w:r w:rsidR="00A87901">
        <w:rPr>
          <w:sz w:val="28"/>
          <w:lang w:val="fr-CH"/>
        </w:rPr>
        <w:t>oile</w:t>
      </w:r>
      <w:r w:rsidR="0038725E">
        <w:rPr>
          <w:sz w:val="28"/>
          <w:lang w:val="fr-CH"/>
        </w:rPr>
        <w:t>.</w:t>
      </w:r>
    </w:p>
    <w:p w14:paraId="089ABC12" w14:textId="77777777" w:rsidR="0025611D" w:rsidRDefault="0025611D" w:rsidP="0038725E">
      <w:pPr>
        <w:ind w:left="885" w:right="694" w:firstLine="80"/>
        <w:rPr>
          <w:sz w:val="28"/>
          <w:lang w:val="fr-CH"/>
        </w:rPr>
      </w:pPr>
    </w:p>
    <w:p w14:paraId="332DAD38" w14:textId="77777777" w:rsidR="00E821F8" w:rsidRPr="004442AB" w:rsidRDefault="00E821F8" w:rsidP="0038725E">
      <w:pPr>
        <w:numPr>
          <w:ilvl w:val="0"/>
          <w:numId w:val="5"/>
        </w:numPr>
        <w:ind w:right="694"/>
        <w:rPr>
          <w:sz w:val="28"/>
          <w:lang w:val="fr-CH"/>
        </w:rPr>
      </w:pPr>
      <w:r>
        <w:rPr>
          <w:color w:val="000000"/>
          <w:sz w:val="28"/>
          <w:lang w:val="fr-CH"/>
        </w:rPr>
        <w:t>Les vêtements et autres articles ab</w:t>
      </w:r>
      <w:r w:rsidR="00BF33FA">
        <w:rPr>
          <w:color w:val="000000"/>
          <w:sz w:val="28"/>
          <w:lang w:val="fr-CH"/>
        </w:rPr>
        <w:t>a</w:t>
      </w:r>
      <w:r>
        <w:rPr>
          <w:color w:val="000000"/>
          <w:sz w:val="28"/>
          <w:lang w:val="fr-CH"/>
        </w:rPr>
        <w:t xml:space="preserve">ndonnés dans les vestiaires </w:t>
      </w:r>
      <w:r w:rsidR="0038725E">
        <w:rPr>
          <w:color w:val="000000"/>
          <w:sz w:val="28"/>
          <w:lang w:val="fr-CH"/>
        </w:rPr>
        <w:t xml:space="preserve">en dehors des armoires </w:t>
      </w:r>
      <w:r>
        <w:rPr>
          <w:color w:val="000000"/>
          <w:sz w:val="28"/>
          <w:lang w:val="fr-CH"/>
        </w:rPr>
        <w:t>seront déposés en fin de saison par le responsable dans un entrepôt du C</w:t>
      </w:r>
      <w:r w:rsidR="004442AB">
        <w:rPr>
          <w:color w:val="000000"/>
          <w:sz w:val="28"/>
          <w:lang w:val="fr-CH"/>
        </w:rPr>
        <w:t>entre de Voile</w:t>
      </w:r>
      <w:r w:rsidRPr="004442AB">
        <w:rPr>
          <w:sz w:val="28"/>
          <w:lang w:val="fr-CH"/>
        </w:rPr>
        <w:t>.</w:t>
      </w:r>
      <w:r w:rsidRPr="004442AB">
        <w:rPr>
          <w:color w:val="FF0000"/>
          <w:sz w:val="28"/>
          <w:lang w:val="fr-CH"/>
        </w:rPr>
        <w:t xml:space="preserve"> </w:t>
      </w:r>
      <w:r w:rsidRPr="004442AB">
        <w:rPr>
          <w:color w:val="000000"/>
          <w:sz w:val="28"/>
          <w:lang w:val="fr-CH"/>
        </w:rPr>
        <w:t xml:space="preserve">Les articles non réclamés au début de la nouvelle saison seront </w:t>
      </w:r>
      <w:r w:rsidR="0038725E">
        <w:rPr>
          <w:color w:val="000000"/>
          <w:sz w:val="28"/>
          <w:lang w:val="fr-CH"/>
        </w:rPr>
        <w:t>jetés</w:t>
      </w:r>
      <w:r w:rsidRPr="004442AB">
        <w:rPr>
          <w:color w:val="000000"/>
          <w:sz w:val="28"/>
          <w:lang w:val="fr-CH"/>
        </w:rPr>
        <w:t>.</w:t>
      </w:r>
    </w:p>
    <w:p w14:paraId="7A5B1D66" w14:textId="77777777" w:rsidR="004442AB" w:rsidRPr="004442AB" w:rsidRDefault="004442AB" w:rsidP="0038725E">
      <w:pPr>
        <w:ind w:left="885" w:right="694"/>
        <w:rPr>
          <w:sz w:val="28"/>
          <w:lang w:val="fr-CH"/>
        </w:rPr>
      </w:pPr>
    </w:p>
    <w:p w14:paraId="1483CD04" w14:textId="77777777" w:rsidR="00E821F8" w:rsidRDefault="00E821F8" w:rsidP="0038725E">
      <w:pPr>
        <w:numPr>
          <w:ilvl w:val="0"/>
          <w:numId w:val="5"/>
        </w:numPr>
        <w:ind w:right="694"/>
        <w:rPr>
          <w:color w:val="000000"/>
          <w:sz w:val="28"/>
          <w:lang w:val="fr-CH"/>
        </w:rPr>
      </w:pPr>
      <w:r>
        <w:rPr>
          <w:color w:val="000000"/>
          <w:sz w:val="28"/>
          <w:lang w:val="fr-CH"/>
        </w:rPr>
        <w:t>Les vestiaires et armoires sont strictement réservés aux objets nécessaires à la pratique de la voile.</w:t>
      </w:r>
    </w:p>
    <w:p w14:paraId="1F5CC8C7" w14:textId="77777777" w:rsidR="00612F3B" w:rsidRDefault="00612F3B" w:rsidP="0038725E">
      <w:pPr>
        <w:ind w:left="885" w:right="694"/>
        <w:rPr>
          <w:color w:val="000000"/>
          <w:sz w:val="28"/>
          <w:lang w:val="fr-CH"/>
        </w:rPr>
      </w:pPr>
    </w:p>
    <w:p w14:paraId="458F4838" w14:textId="77777777" w:rsidR="00E821F8" w:rsidRDefault="00E821F8" w:rsidP="0038725E">
      <w:pPr>
        <w:numPr>
          <w:ilvl w:val="0"/>
          <w:numId w:val="5"/>
        </w:numPr>
        <w:ind w:right="694"/>
        <w:rPr>
          <w:color w:val="000000"/>
          <w:sz w:val="28"/>
          <w:lang w:val="fr-CH"/>
        </w:rPr>
      </w:pPr>
      <w:r>
        <w:rPr>
          <w:color w:val="000000"/>
          <w:sz w:val="28"/>
          <w:lang w:val="fr-CH"/>
        </w:rPr>
        <w:t xml:space="preserve">Les membres sont priés de respecter l'intimité </w:t>
      </w:r>
      <w:r w:rsidR="0038725E">
        <w:rPr>
          <w:color w:val="000000"/>
          <w:sz w:val="28"/>
          <w:lang w:val="fr-CH"/>
        </w:rPr>
        <w:t>aux</w:t>
      </w:r>
      <w:r>
        <w:rPr>
          <w:color w:val="000000"/>
          <w:sz w:val="28"/>
          <w:lang w:val="fr-CH"/>
        </w:rPr>
        <w:t xml:space="preserve"> vestiaires.</w:t>
      </w:r>
    </w:p>
    <w:p w14:paraId="24D26297" w14:textId="77777777" w:rsidR="00E821F8" w:rsidRDefault="00E821F8" w:rsidP="0038725E">
      <w:pPr>
        <w:ind w:right="694"/>
        <w:rPr>
          <w:color w:val="FF0000"/>
          <w:sz w:val="28"/>
          <w:lang w:val="fr-CH"/>
        </w:rPr>
      </w:pPr>
    </w:p>
    <w:sectPr w:rsidR="00E821F8" w:rsidSect="004442AB">
      <w:pgSz w:w="11906" w:h="16838"/>
      <w:pgMar w:top="57" w:right="296" w:bottom="0" w:left="1418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708"/>
    <w:multiLevelType w:val="hybridMultilevel"/>
    <w:tmpl w:val="78B2D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881"/>
    <w:multiLevelType w:val="singleLevel"/>
    <w:tmpl w:val="71D228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2141725D"/>
    <w:multiLevelType w:val="singleLevel"/>
    <w:tmpl w:val="55FAADAA"/>
    <w:lvl w:ilvl="0">
      <w:start w:val="1"/>
      <w:numFmt w:val="decimalZero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</w:abstractNum>
  <w:abstractNum w:abstractNumId="3" w15:restartNumberingAfterBreak="0">
    <w:nsid w:val="28091D5F"/>
    <w:multiLevelType w:val="hybridMultilevel"/>
    <w:tmpl w:val="F6E6926C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F255BF"/>
    <w:multiLevelType w:val="hybridMultilevel"/>
    <w:tmpl w:val="492C834A"/>
    <w:lvl w:ilvl="0" w:tplc="4B402A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F6"/>
    <w:rsid w:val="00215C25"/>
    <w:rsid w:val="0025611D"/>
    <w:rsid w:val="0031055B"/>
    <w:rsid w:val="0038725E"/>
    <w:rsid w:val="003A4FD3"/>
    <w:rsid w:val="004442AB"/>
    <w:rsid w:val="004D6867"/>
    <w:rsid w:val="00612F3B"/>
    <w:rsid w:val="006C4F10"/>
    <w:rsid w:val="00933467"/>
    <w:rsid w:val="00A24411"/>
    <w:rsid w:val="00A375E9"/>
    <w:rsid w:val="00A87901"/>
    <w:rsid w:val="00BF33FA"/>
    <w:rsid w:val="00D367A6"/>
    <w:rsid w:val="00DC30D3"/>
    <w:rsid w:val="00E821F8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425B"/>
  <w15:chartTrackingRefBased/>
  <w15:docId w15:val="{18FB00B7-E5A1-4546-A425-2FDDC05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rsid w:val="00A24411"/>
    <w:pPr>
      <w:keepNext/>
      <w:outlineLvl w:val="0"/>
    </w:pPr>
    <w:rPr>
      <w:sz w:val="24"/>
      <w:lang w:val="en-A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rfrencesjuridiques">
    <w:name w:val="table of authorities"/>
    <w:basedOn w:val="Normal"/>
    <w:next w:val="Listecontinue"/>
    <w:semiHidden/>
    <w:pPr>
      <w:ind w:left="200" w:hanging="200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 w:val="44"/>
      <w:lang w:val="fr-CH"/>
    </w:rPr>
  </w:style>
  <w:style w:type="paragraph" w:styleId="Lgende">
    <w:name w:val="caption"/>
    <w:basedOn w:val="Normal"/>
    <w:next w:val="Normal"/>
    <w:qFormat/>
    <w:rsid w:val="00A24411"/>
    <w:pPr>
      <w:widowControl w:val="0"/>
    </w:pPr>
    <w:rPr>
      <w:b/>
      <w:snapToGrid w:val="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pute/Desktop/reglement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reglementM.dotx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Règlement</vt:lpstr>
      <vt:lpstr>Règlement</vt:lpstr>
    </vt:vector>
  </TitlesOfParts>
  <Company> 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subject/>
  <dc:creator>Microsoft Office User</dc:creator>
  <cp:keywords/>
  <cp:lastModifiedBy>Martine Mergen</cp:lastModifiedBy>
  <cp:revision>1</cp:revision>
  <cp:lastPrinted>2013-08-19T07:23:00Z</cp:lastPrinted>
  <dcterms:created xsi:type="dcterms:W3CDTF">2021-03-31T21:06:00Z</dcterms:created>
  <dcterms:modified xsi:type="dcterms:W3CDTF">2021-03-31T21:07:00Z</dcterms:modified>
</cp:coreProperties>
</file>